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D76D" w14:textId="29DC2AFB" w:rsidR="000D2795" w:rsidRPr="002E48F8" w:rsidRDefault="00805136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HAYVANCILIK İŞLETMELERİNDE ÇALIŞAN VETERİNER HEKİM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8D9E3E8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5344BA7F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DB0EE5" w:rsidRPr="002E48F8">
        <w:rPr>
          <w:rFonts w:ascii="Times New Roman" w:hAnsi="Times New Roman" w:cs="Times New Roman"/>
        </w:rPr>
        <w:t xml:space="preserve">İşletmede gerekli biyo güvenlik ve hijyen önlemlerini belirlemek ve gerekli tedbirlerin alınmasını sağlamak, </w:t>
      </w:r>
      <w:r w:rsidRPr="002E48F8">
        <w:rPr>
          <w:rFonts w:ascii="Times New Roman" w:hAnsi="Times New Roman" w:cs="Times New Roman"/>
        </w:rPr>
        <w:t>bu konuda çalışan personele eğitim düzenlemek,</w:t>
      </w:r>
    </w:p>
    <w:p w14:paraId="13FFA2E7" w14:textId="44F2BA9C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Hayvan sağlığı, yem güvenliği</w:t>
      </w:r>
      <w:r w:rsidR="00E377AF" w:rsidRPr="002E48F8">
        <w:rPr>
          <w:rFonts w:ascii="Times New Roman" w:hAnsi="Times New Roman" w:cs="Times New Roman"/>
        </w:rPr>
        <w:t xml:space="preserve"> ve hayvan refahı konularında alınması gerekli tedbirleri belirlemek ve </w:t>
      </w:r>
      <w:r w:rsidR="008975BC" w:rsidRPr="002E48F8">
        <w:rPr>
          <w:rFonts w:ascii="Times New Roman" w:hAnsi="Times New Roman" w:cs="Times New Roman"/>
        </w:rPr>
        <w:t xml:space="preserve">uygulanmasını sağlamak, ihbarı zorunlu hastalık çıktığında </w:t>
      </w:r>
      <w:r w:rsidR="004827E5" w:rsidRPr="002E48F8">
        <w:rPr>
          <w:rFonts w:ascii="Times New Roman" w:hAnsi="Times New Roman" w:cs="Times New Roman"/>
        </w:rPr>
        <w:t>İl veya İlçe Tarım ve Orman Müdürlüğünü bilgilendirmek,</w:t>
      </w:r>
    </w:p>
    <w:p w14:paraId="758EF1F5" w14:textId="7E35D6E2" w:rsidR="004827E5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Hayvanların aşılama programlarını düzenlemek</w:t>
      </w:r>
      <w:r w:rsidR="00D90791" w:rsidRPr="002E48F8">
        <w:rPr>
          <w:rFonts w:ascii="Times New Roman" w:hAnsi="Times New Roman" w:cs="Times New Roman"/>
        </w:rPr>
        <w:t>,</w:t>
      </w:r>
    </w:p>
    <w:p w14:paraId="70115CC5" w14:textId="103728A8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Suni tohumlama veya embriyo transferlerini yapmak veya yaptırmak,</w:t>
      </w:r>
    </w:p>
    <w:p w14:paraId="565DC9C4" w14:textId="66BC0992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>
        <w:rPr>
          <w:rFonts w:ascii="Times New Roman" w:hAnsi="Times New Roman" w:cs="Times New Roman"/>
          <w:b/>
          <w:bCs/>
        </w:rPr>
        <w:t>d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F72A8" w:rsidRPr="002E48F8">
        <w:rPr>
          <w:rFonts w:ascii="Times New Roman" w:hAnsi="Times New Roman" w:cs="Times New Roman"/>
        </w:rPr>
        <w:t>Hayvanları kimliklendirmek ve kayıtlarını yapmak veya yaptırmak</w:t>
      </w:r>
      <w:r w:rsidR="000F34AD" w:rsidRPr="002E48F8">
        <w:rPr>
          <w:rFonts w:ascii="Times New Roman" w:hAnsi="Times New Roman" w:cs="Times New Roman"/>
        </w:rPr>
        <w:t>,</w:t>
      </w:r>
    </w:p>
    <w:p w14:paraId="5A929BB5" w14:textId="5772CA11" w:rsidR="000F34AD" w:rsidRPr="002E48F8" w:rsidRDefault="000F34AD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 w:rsidRPr="002E48F8">
        <w:rPr>
          <w:rFonts w:ascii="Times New Roman" w:hAnsi="Times New Roman" w:cs="Times New Roman"/>
          <w:b/>
          <w:bCs/>
        </w:rPr>
        <w:t>e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F17F0" w:rsidRPr="002E48F8">
        <w:rPr>
          <w:rFonts w:ascii="Times New Roman" w:hAnsi="Times New Roman" w:cs="Times New Roman"/>
        </w:rPr>
        <w:t xml:space="preserve">Veteriner tıbbi ürünlerin ve biyolojik </w:t>
      </w:r>
      <w:r w:rsidR="00C81CB7" w:rsidRPr="002E48F8">
        <w:rPr>
          <w:rFonts w:ascii="Times New Roman" w:hAnsi="Times New Roman" w:cs="Times New Roman"/>
        </w:rPr>
        <w:t>ürünlerin uygulama kayıtlarının tutulmasını ve takibini sağlamak,</w:t>
      </w:r>
    </w:p>
    <w:p w14:paraId="0FE42FA8" w14:textId="565CBB03" w:rsidR="00F56D80" w:rsidRPr="002E48F8" w:rsidRDefault="00C81CB7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 w:rsidRPr="002E48F8">
        <w:rPr>
          <w:rFonts w:ascii="Times New Roman" w:hAnsi="Times New Roman" w:cs="Times New Roman"/>
          <w:b/>
          <w:bCs/>
        </w:rPr>
        <w:t>f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Bakanlık tarafından istenen tüm bilgiler</w:t>
      </w:r>
      <w:r w:rsidR="00F56D80" w:rsidRPr="002E48F8">
        <w:rPr>
          <w:rFonts w:ascii="Times New Roman" w:hAnsi="Times New Roman" w:cs="Times New Roman"/>
        </w:rPr>
        <w:t>i düzenli olarak vermek.</w:t>
      </w:r>
    </w:p>
    <w:p w14:paraId="47D8CB26" w14:textId="229D7C52" w:rsidR="00F56D80" w:rsidRPr="002E48F8" w:rsidRDefault="00F56D80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85FBA" w:rsidRPr="00985FBA">
        <w:rPr>
          <w:rFonts w:ascii="Times New Roman" w:hAnsi="Times New Roman" w:cs="Times New Roman"/>
          <w:b/>
          <w:bCs/>
        </w:rPr>
        <w:t>g</w:t>
      </w:r>
      <w:r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6275F767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85FBA" w:rsidRPr="00985FBA">
        <w:rPr>
          <w:rFonts w:ascii="Times New Roman" w:hAnsi="Times New Roman" w:cs="Times New Roman"/>
          <w:b/>
          <w:bCs/>
        </w:rPr>
        <w:t>h)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0C9DF5A5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85FBA" w:rsidRPr="001018C3">
        <w:rPr>
          <w:rFonts w:ascii="Times New Roman" w:hAnsi="Times New Roman" w:cs="Times New Roman"/>
          <w:b/>
          <w:bCs/>
        </w:rPr>
        <w:t>ı)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346D50BD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893B95" w:rsidRPr="00A53591">
        <w:rPr>
          <w:rFonts w:ascii="Times New Roman" w:hAnsi="Times New Roman" w:cs="Times New Roman"/>
          <w:b/>
          <w:bCs/>
        </w:rPr>
        <w:t>#</w:t>
      </w:r>
      <w:r w:rsidR="00893B95">
        <w:rPr>
          <w:rFonts w:ascii="Times New Roman" w:hAnsi="Times New Roman" w:cs="Times New Roman"/>
          <w:b/>
          <w:bCs/>
        </w:rPr>
        <w:t>61.370,00(Altmışbirbinüçyüzyetmiş</w:t>
      </w:r>
      <w:r w:rsidR="00893B95" w:rsidRPr="00A53591">
        <w:rPr>
          <w:rFonts w:ascii="Times New Roman" w:hAnsi="Times New Roman" w:cs="Times New Roman"/>
          <w:b/>
          <w:bCs/>
        </w:rPr>
        <w:t>)₺</w:t>
      </w:r>
      <w:r w:rsidR="00F270DE" w:rsidRPr="002E48F8">
        <w:rPr>
          <w:rFonts w:ascii="Times New Roman" w:hAnsi="Times New Roman" w:cs="Times New Roman"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lastRenderedPageBreak/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3191EC45" w14:textId="3EA69A0D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4B33" w14:textId="77777777" w:rsidR="000C13E3" w:rsidRDefault="000C13E3" w:rsidP="0046715F">
      <w:r>
        <w:separator/>
      </w:r>
    </w:p>
  </w:endnote>
  <w:endnote w:type="continuationSeparator" w:id="0">
    <w:p w14:paraId="675DE7C8" w14:textId="77777777" w:rsidR="000C13E3" w:rsidRDefault="000C13E3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4671" w14:textId="77777777" w:rsidR="000C13E3" w:rsidRDefault="000C13E3" w:rsidP="0046715F">
      <w:r>
        <w:separator/>
      </w:r>
    </w:p>
  </w:footnote>
  <w:footnote w:type="continuationSeparator" w:id="0">
    <w:p w14:paraId="5C894687" w14:textId="77777777" w:rsidR="000C13E3" w:rsidRDefault="000C13E3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709BE"/>
    <w:rsid w:val="00082317"/>
    <w:rsid w:val="00085E3E"/>
    <w:rsid w:val="000949AA"/>
    <w:rsid w:val="000958C2"/>
    <w:rsid w:val="00096E3A"/>
    <w:rsid w:val="000B68CC"/>
    <w:rsid w:val="000C13E3"/>
    <w:rsid w:val="000D2795"/>
    <w:rsid w:val="000E07B0"/>
    <w:rsid w:val="000E7959"/>
    <w:rsid w:val="000F34AD"/>
    <w:rsid w:val="001012FB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8B8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72A8"/>
    <w:rsid w:val="00600D05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6E549F"/>
    <w:rsid w:val="00702125"/>
    <w:rsid w:val="007131DB"/>
    <w:rsid w:val="007149CE"/>
    <w:rsid w:val="007211BF"/>
    <w:rsid w:val="0073177B"/>
    <w:rsid w:val="0075036E"/>
    <w:rsid w:val="00753999"/>
    <w:rsid w:val="00755880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3B95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3CD2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270DE"/>
    <w:rsid w:val="00F369AC"/>
    <w:rsid w:val="00F37E4B"/>
    <w:rsid w:val="00F55875"/>
    <w:rsid w:val="00F56D80"/>
    <w:rsid w:val="00F927A7"/>
    <w:rsid w:val="00FA48E5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96</cp:revision>
  <cp:lastPrinted>2022-10-21T08:18:00Z</cp:lastPrinted>
  <dcterms:created xsi:type="dcterms:W3CDTF">2022-10-25T08:29:00Z</dcterms:created>
  <dcterms:modified xsi:type="dcterms:W3CDTF">2025-01-08T06:44:00Z</dcterms:modified>
</cp:coreProperties>
</file>